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DF" w:rsidRPr="005D7CDF" w:rsidRDefault="005D7CDF" w:rsidP="005D7CDF">
      <w:pPr>
        <w:pStyle w:val="Overskrift1"/>
      </w:pPr>
      <w:r w:rsidRPr="005D7CDF">
        <w:t>SJEKKLISTE FOR RISIKO- OG SÅRBARHETSANALYSE</w:t>
      </w:r>
      <w:bookmarkStart w:id="0" w:name="_GoBack"/>
      <w:bookmarkEnd w:id="0"/>
    </w:p>
    <w:p w:rsidR="005D7CDF" w:rsidRPr="00BA3AEC" w:rsidRDefault="005D7CDF" w:rsidP="00BA3AEC">
      <w:r w:rsidRPr="003771B4">
        <w:rPr>
          <w:i/>
        </w:rPr>
        <w:t>(</w:t>
      </w:r>
      <w:hyperlink r:id="rId8" w:history="1">
        <w:r w:rsidR="00BA3AEC" w:rsidRPr="00BA3AEC">
          <w:rPr>
            <w:rStyle w:val="Hyperkobling"/>
            <w:i/>
            <w:iCs/>
          </w:rPr>
          <w:t>Plan- og bygningslova § 4-3 fastsetter krav om risiko- og sårbarhetsanalyser i arealplanlegginga</w:t>
        </w:r>
      </w:hyperlink>
      <w:r w:rsidR="00BA3AEC" w:rsidRPr="00BA3AEC">
        <w:rPr>
          <w:i/>
          <w:iCs/>
        </w:rPr>
        <w:t xml:space="preserve"> </w:t>
      </w:r>
      <w:r w:rsidR="00BA3AEC" w:rsidRPr="00BA3AEC">
        <w:rPr>
          <w:i/>
          <w:iCs/>
        </w:rPr>
        <w:br/>
      </w:r>
      <w:r w:rsidRPr="00BA3AEC">
        <w:rPr>
          <w:i/>
          <w:iCs/>
        </w:rPr>
        <w:t xml:space="preserve">Forslag til disposisjon. Forklaringer er satt i kursiv i klammer. Risiko og sårbarhetsanalyse er et hjelpemiddel underveis i utarbeidelsen av en reguleringsplan og en dokumentasjon til myndighetene på om området er egnet for planlagte tiltak når det gjelder mulige uønskede konsekvenser, eventuelt hva som må gjøres for å unngå slike, </w:t>
      </w:r>
      <w:proofErr w:type="spellStart"/>
      <w:r w:rsidRPr="00BA3AEC">
        <w:rPr>
          <w:i/>
          <w:iCs/>
        </w:rPr>
        <w:t>jf</w:t>
      </w:r>
      <w:proofErr w:type="spellEnd"/>
      <w:r w:rsidRPr="00BA3AEC">
        <w:rPr>
          <w:i/>
          <w:iCs/>
        </w:rPr>
        <w:t xml:space="preserve"> planloven § 4-3.)</w:t>
      </w:r>
    </w:p>
    <w:p w:rsidR="005D7CDF" w:rsidRDefault="005D7CDF" w:rsidP="005D7CDF"/>
    <w:p w:rsidR="005D7CDF" w:rsidRDefault="005D7CDF" w:rsidP="005D7CDF">
      <w:r>
        <w:t>Sak:</w:t>
      </w:r>
    </w:p>
    <w:p w:rsidR="005D7CDF" w:rsidRDefault="005D7CDF" w:rsidP="005D7CDF">
      <w:pPr>
        <w:pStyle w:val="Ingenmellomrom"/>
      </w:pPr>
      <w:r>
        <w:t>Forfatter: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  <w:r>
        <w:t>Forslagsstiller til planforslag: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  <w:r>
        <w:t>Dato:</w:t>
      </w:r>
    </w:p>
    <w:p w:rsidR="005D7CDF" w:rsidRPr="00A1319A" w:rsidRDefault="005D7CDF" w:rsidP="005D7CDF">
      <w:pPr>
        <w:pStyle w:val="Overskrift1"/>
      </w:pPr>
      <w:r w:rsidRPr="00A1319A">
        <w:t>SAMMENDRAG MED ANBEFALINGER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  <w:r>
        <w:t>Analysen viser at (…)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</w:p>
    <w:p w:rsidR="005D7CDF" w:rsidRPr="00A1319A" w:rsidRDefault="005D7CDF" w:rsidP="005D7CDF">
      <w:pPr>
        <w:pStyle w:val="Overskrift1"/>
      </w:pPr>
      <w:r w:rsidRPr="00A1319A">
        <w:t>OPPSUMMERENDE TABELL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5D7CDF" w:rsidTr="000808E3">
        <w:trPr>
          <w:trHeight w:val="302"/>
        </w:trPr>
        <w:tc>
          <w:tcPr>
            <w:tcW w:w="1951" w:type="dxa"/>
            <w:vAlign w:val="center"/>
          </w:tcPr>
          <w:p w:rsidR="005D7CDF" w:rsidRDefault="005D7CDF" w:rsidP="000808E3">
            <w:r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5D7CDF" w:rsidRDefault="005D7CDF" w:rsidP="000808E3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5D7CDF" w:rsidRDefault="005D7CDF" w:rsidP="000808E3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5D7CDF" w:rsidRDefault="005D7CDF" w:rsidP="000808E3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5D7CDF" w:rsidRDefault="005D7CDF" w:rsidP="000808E3">
            <w:r w:rsidRPr="006552A6">
              <w:t>Svært alvorlig</w:t>
            </w:r>
          </w:p>
        </w:tc>
      </w:tr>
      <w:tr w:rsidR="005D7CDF" w:rsidTr="000808E3">
        <w:trPr>
          <w:trHeight w:val="241"/>
        </w:trPr>
        <w:tc>
          <w:tcPr>
            <w:tcW w:w="1951" w:type="dxa"/>
            <w:vAlign w:val="center"/>
          </w:tcPr>
          <w:p w:rsidR="005D7CDF" w:rsidRDefault="005D7CDF" w:rsidP="000808E3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5D7CDF" w:rsidRPr="006552A6" w:rsidRDefault="005D7CDF" w:rsidP="000808E3"/>
        </w:tc>
        <w:tc>
          <w:tcPr>
            <w:tcW w:w="1842" w:type="dxa"/>
            <w:vMerge/>
            <w:vAlign w:val="center"/>
          </w:tcPr>
          <w:p w:rsidR="005D7CDF" w:rsidRPr="006552A6" w:rsidRDefault="005D7CDF" w:rsidP="000808E3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D7CDF" w:rsidRPr="006552A6" w:rsidRDefault="005D7CDF" w:rsidP="000808E3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D7CDF" w:rsidRPr="006552A6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FF00"/>
            <w:vAlign w:val="center"/>
          </w:tcPr>
          <w:p w:rsidR="005D7CDF" w:rsidRDefault="005D7CDF" w:rsidP="000808E3"/>
        </w:tc>
      </w:tr>
    </w:tbl>
    <w:p w:rsidR="005D7CDF" w:rsidRDefault="005D7CDF" w:rsidP="005D7CDF"/>
    <w:p w:rsidR="005D7CDF" w:rsidRDefault="005D7CDF" w:rsidP="005D7CDF">
      <w:r>
        <w:t>Emnetall etter tabellen under, er satt inn i matrisen i samsvar med vurderingen under.</w:t>
      </w:r>
    </w:p>
    <w:p w:rsidR="005D7CDF" w:rsidRDefault="005D7CDF" w:rsidP="005D7CDF">
      <w:r>
        <w:t>Det anbefales følgende tiltak: (…)</w:t>
      </w:r>
    </w:p>
    <w:p w:rsidR="005D7CDF" w:rsidRPr="00A1319A" w:rsidRDefault="005D7CDF" w:rsidP="005D7CDF">
      <w:pPr>
        <w:pStyle w:val="Overskrift1"/>
      </w:pPr>
      <w:r w:rsidRPr="00A1319A">
        <w:t>BAKGRUNN OG NØKKELOPPLYSNINGER</w:t>
      </w:r>
    </w:p>
    <w:p w:rsidR="005D7CDF" w:rsidRPr="00A1319A" w:rsidRDefault="005D7CDF" w:rsidP="005D7CDF">
      <w:pPr>
        <w:pStyle w:val="Ingenmellomrom"/>
        <w:rPr>
          <w:i/>
        </w:rPr>
      </w:pPr>
      <w:r w:rsidRPr="00A1319A">
        <w:rPr>
          <w:i/>
        </w:rPr>
        <w:t>(Om planskissen, arealbruk, bebyggelsens størrelse, veg og parkering og andre opplysninger som er relevante for analysen.)</w:t>
      </w:r>
    </w:p>
    <w:p w:rsidR="005D7CDF" w:rsidRDefault="005D7CDF" w:rsidP="005D7CDF">
      <w:pPr>
        <w:rPr>
          <w:b/>
        </w:rPr>
      </w:pPr>
    </w:p>
    <w:p w:rsidR="005D7CDF" w:rsidRPr="00A1319A" w:rsidRDefault="005D7CDF" w:rsidP="005D7CDF">
      <w:pPr>
        <w:pStyle w:val="Overskrift1"/>
      </w:pPr>
      <w:r w:rsidRPr="00A1319A">
        <w:t>METODE</w:t>
      </w:r>
    </w:p>
    <w:p w:rsidR="005D7CDF" w:rsidRPr="00A1319A" w:rsidRDefault="005D7CDF" w:rsidP="005D7CDF">
      <w:pPr>
        <w:pStyle w:val="Ingenmellomrom"/>
        <w:rPr>
          <w:i/>
        </w:rPr>
      </w:pPr>
      <w:r w:rsidRPr="00A1319A">
        <w:rPr>
          <w:i/>
        </w:rPr>
        <w:t>(Beskriv hvilke plandokumenter analysen er basert på</w:t>
      </w:r>
    </w:p>
    <w:p w:rsidR="005D7CDF" w:rsidRPr="00A1319A" w:rsidRDefault="005D7CDF" w:rsidP="005D7CDF">
      <w:pPr>
        <w:pStyle w:val="Ingenmellomrom"/>
        <w:rPr>
          <w:i/>
        </w:rPr>
      </w:pPr>
      <w:r w:rsidRPr="00A1319A">
        <w:rPr>
          <w:i/>
        </w:rPr>
        <w:t>Mulige uønskede hendelser skal ut fra en generell/teoretisk vurdering sorteres i hendelser som kan påvirke planområdets funksjon, utforming m.m., og hendelser som direkte kan påvirke omgivelsene, henholdsvis virkninger for og virkninger av planforslaget.</w:t>
      </w:r>
    </w:p>
    <w:p w:rsidR="005D7CDF" w:rsidRPr="00A1319A" w:rsidRDefault="005D7CDF" w:rsidP="005D7CDF">
      <w:pPr>
        <w:pStyle w:val="Ingenmellomrom"/>
        <w:rPr>
          <w:i/>
        </w:rPr>
      </w:pPr>
      <w:r w:rsidRPr="00A1319A">
        <w:rPr>
          <w:i/>
        </w:rPr>
        <w:lastRenderedPageBreak/>
        <w:t>Tema i tabellen under er kvittert ut eller inn i kolonnen Aktuelt. (Det svares ja eller nei på om temaet er aktuelt for saken.)</w:t>
      </w:r>
      <w:r>
        <w:rPr>
          <w:i/>
        </w:rPr>
        <w:t>)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  <w:r>
        <w:t>Vurdering av sannsynlighet for uønskede hendelser er klassifisert i:</w:t>
      </w:r>
    </w:p>
    <w:p w:rsidR="005D7CDF" w:rsidRDefault="005D7CDF" w:rsidP="005D7CDF">
      <w:pPr>
        <w:pStyle w:val="Ingenmellomrom"/>
        <w:numPr>
          <w:ilvl w:val="0"/>
          <w:numId w:val="8"/>
        </w:numPr>
      </w:pPr>
      <w:r>
        <w:t>Lite sannsynlig – hendelsen er ikke kjent fra tilsvarende situasjoner eller forhold, men det er en teoretisk sjanse</w:t>
      </w:r>
    </w:p>
    <w:p w:rsidR="005D7CDF" w:rsidRDefault="005D7CDF" w:rsidP="005D7CDF">
      <w:pPr>
        <w:pStyle w:val="Ingenmellomrom"/>
        <w:numPr>
          <w:ilvl w:val="0"/>
          <w:numId w:val="8"/>
        </w:numPr>
      </w:pPr>
      <w:r>
        <w:t>Mindre sannsynlig- hendelsen kan skje</w:t>
      </w:r>
    </w:p>
    <w:p w:rsidR="005D7CDF" w:rsidRDefault="005D7CDF" w:rsidP="005D7CDF">
      <w:pPr>
        <w:pStyle w:val="Ingenmellomrom"/>
        <w:numPr>
          <w:ilvl w:val="0"/>
          <w:numId w:val="8"/>
        </w:numPr>
      </w:pPr>
      <w:r>
        <w:t>Sannsynlig – kan skje av og til, mulig periodisk hendelse</w:t>
      </w:r>
    </w:p>
    <w:p w:rsidR="005D7CDF" w:rsidRDefault="005D7CDF" w:rsidP="005D7CDF">
      <w:pPr>
        <w:pStyle w:val="Ingenmellomrom"/>
        <w:numPr>
          <w:ilvl w:val="0"/>
          <w:numId w:val="8"/>
        </w:numPr>
      </w:pPr>
      <w:r>
        <w:t>Svært sannsynlig – kan skje regelmessig, forholdet er kontinuerlig tilstede</w:t>
      </w:r>
    </w:p>
    <w:p w:rsidR="005D7CDF" w:rsidRDefault="005D7CDF" w:rsidP="005D7CDF">
      <w:pPr>
        <w:pStyle w:val="Ingenmellomrom"/>
      </w:pPr>
    </w:p>
    <w:p w:rsidR="005D7CDF" w:rsidRDefault="005D7CDF" w:rsidP="005D7CDF">
      <w:pPr>
        <w:pStyle w:val="Ingenmellomrom"/>
      </w:pPr>
      <w:r>
        <w:t>Vurdering av uønskede hendelsers alvorlighetsgrad er klassifisert som:</w:t>
      </w:r>
    </w:p>
    <w:p w:rsidR="005D7CDF" w:rsidRDefault="005D7CDF" w:rsidP="005D7CDF">
      <w:pPr>
        <w:pStyle w:val="Ingenmellomrom"/>
        <w:numPr>
          <w:ilvl w:val="0"/>
          <w:numId w:val="9"/>
        </w:numPr>
      </w:pPr>
      <w:r>
        <w:t>Ubetydelig - Ingen fare for person- eller miljøskader, konsekvenser av systembrudd er uvesentlig</w:t>
      </w:r>
    </w:p>
    <w:p w:rsidR="005D7CDF" w:rsidRDefault="005D7CDF" w:rsidP="005D7CDF">
      <w:pPr>
        <w:pStyle w:val="Ingenmellomrom"/>
        <w:numPr>
          <w:ilvl w:val="0"/>
          <w:numId w:val="9"/>
        </w:numPr>
      </w:pPr>
      <w:r>
        <w:t>Mindre alvorlig - Få eller små person- eller miljøskader</w:t>
      </w:r>
    </w:p>
    <w:p w:rsidR="005D7CDF" w:rsidRDefault="005D7CDF" w:rsidP="005D7CDF">
      <w:pPr>
        <w:pStyle w:val="Ingenmellomrom"/>
        <w:numPr>
          <w:ilvl w:val="0"/>
          <w:numId w:val="9"/>
        </w:numPr>
      </w:pPr>
      <w:r>
        <w:t>Alvorlig - Alvorlige, behandlingskrevende person- eller miljøskader, system settes ut av drift over lengre tid</w:t>
      </w:r>
    </w:p>
    <w:p w:rsidR="005D7CDF" w:rsidRDefault="005D7CDF" w:rsidP="005D7CDF">
      <w:pPr>
        <w:pStyle w:val="Ingenmellomrom"/>
        <w:numPr>
          <w:ilvl w:val="0"/>
          <w:numId w:val="9"/>
        </w:numPr>
      </w:pPr>
      <w:r>
        <w:t>Svært alvorlig - katastrofer, mange døde eller alvorlig skadde, langvarige/uopprettelige miljøskader, system settes varig ut av drift</w:t>
      </w:r>
    </w:p>
    <w:p w:rsidR="005D7CDF" w:rsidRDefault="005D7CDF" w:rsidP="005D7CDF"/>
    <w:p w:rsidR="005D7CDF" w:rsidRPr="00A1319A" w:rsidRDefault="005D7CDF" w:rsidP="005D7CDF">
      <w:pPr>
        <w:pStyle w:val="Overskrift1"/>
      </w:pPr>
      <w:r w:rsidRPr="00A1319A">
        <w:t>KLASSIFIKASJON MED FARGEKODER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5D7CDF" w:rsidTr="000808E3">
        <w:trPr>
          <w:trHeight w:val="302"/>
        </w:trPr>
        <w:tc>
          <w:tcPr>
            <w:tcW w:w="1951" w:type="dxa"/>
            <w:vAlign w:val="center"/>
          </w:tcPr>
          <w:p w:rsidR="005D7CDF" w:rsidRDefault="005D7CDF" w:rsidP="000808E3">
            <w:r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5D7CDF" w:rsidRDefault="005D7CDF" w:rsidP="000808E3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5D7CDF" w:rsidRDefault="005D7CDF" w:rsidP="000808E3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5D7CDF" w:rsidRDefault="005D7CDF" w:rsidP="000808E3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5D7CDF" w:rsidRDefault="005D7CDF" w:rsidP="000808E3">
            <w:r w:rsidRPr="006552A6">
              <w:t>Svært alvorlig</w:t>
            </w:r>
          </w:p>
        </w:tc>
      </w:tr>
      <w:tr w:rsidR="005D7CDF" w:rsidTr="000808E3">
        <w:trPr>
          <w:trHeight w:val="241"/>
        </w:trPr>
        <w:tc>
          <w:tcPr>
            <w:tcW w:w="1951" w:type="dxa"/>
            <w:vAlign w:val="center"/>
          </w:tcPr>
          <w:p w:rsidR="005D7CDF" w:rsidRDefault="005D7CDF" w:rsidP="000808E3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5D7CDF" w:rsidRPr="006552A6" w:rsidRDefault="005D7CDF" w:rsidP="000808E3"/>
        </w:tc>
        <w:tc>
          <w:tcPr>
            <w:tcW w:w="1842" w:type="dxa"/>
            <w:vMerge/>
            <w:vAlign w:val="center"/>
          </w:tcPr>
          <w:p w:rsidR="005D7CDF" w:rsidRPr="006552A6" w:rsidRDefault="005D7CDF" w:rsidP="000808E3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D7CDF" w:rsidRPr="006552A6" w:rsidRDefault="005D7CDF" w:rsidP="000808E3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D7CDF" w:rsidRPr="006552A6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5D7CDF" w:rsidRDefault="005D7CDF" w:rsidP="000808E3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5D7CDF" w:rsidRDefault="005D7CDF" w:rsidP="000808E3"/>
        </w:tc>
      </w:tr>
      <w:tr w:rsidR="005D7CDF" w:rsidTr="000808E3">
        <w:tc>
          <w:tcPr>
            <w:tcW w:w="1951" w:type="dxa"/>
            <w:vAlign w:val="center"/>
          </w:tcPr>
          <w:p w:rsidR="005D7CDF" w:rsidRDefault="005D7CDF" w:rsidP="000808E3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2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00B050"/>
            <w:vAlign w:val="center"/>
          </w:tcPr>
          <w:p w:rsidR="005D7CDF" w:rsidRDefault="005D7CDF" w:rsidP="000808E3"/>
        </w:tc>
        <w:tc>
          <w:tcPr>
            <w:tcW w:w="1843" w:type="dxa"/>
            <w:shd w:val="clear" w:color="auto" w:fill="FFFF00"/>
            <w:vAlign w:val="center"/>
          </w:tcPr>
          <w:p w:rsidR="005D7CDF" w:rsidRDefault="005D7CDF" w:rsidP="000808E3"/>
        </w:tc>
      </w:tr>
    </w:tbl>
    <w:p w:rsidR="005D7CDF" w:rsidRDefault="005D7CDF" w:rsidP="005D7CDF">
      <w:pPr>
        <w:pStyle w:val="Ingenmellomrom"/>
      </w:pPr>
    </w:p>
    <w:p w:rsidR="005D7CDF" w:rsidRPr="00A1319A" w:rsidRDefault="005D7CDF" w:rsidP="005D7CDF">
      <w:pPr>
        <w:pStyle w:val="Ingenmellomrom"/>
        <w:rPr>
          <w:i/>
        </w:rPr>
      </w:pPr>
      <w:r w:rsidRPr="00A1319A">
        <w:rPr>
          <w:i/>
        </w:rPr>
        <w:t>(Hendelser i rødt felt vurderes først, deretter gult. Det vurderes om utbygging er mulig og det vurderes hvilke tiltak/endringer av planen som er nødvendig for å redusere risiko til akseptabelt nivå.)</w:t>
      </w:r>
    </w:p>
    <w:p w:rsidR="005D7CDF" w:rsidRDefault="005D7CDF" w:rsidP="005D7CDF"/>
    <w:p w:rsidR="005D7CDF" w:rsidRPr="00A1319A" w:rsidRDefault="005D7CDF" w:rsidP="005D7CDF">
      <w:pPr>
        <w:rPr>
          <w:i/>
        </w:rPr>
      </w:pPr>
      <w:r>
        <w:t xml:space="preserve">Hendelser som er vurdert å være sannsynlige til svært sannsynlige og ha alvorlige til svært alvorlige virkninger, krever tiltak. </w:t>
      </w:r>
      <w:r w:rsidRPr="00A1319A">
        <w:rPr>
          <w:i/>
        </w:rPr>
        <w:t>(Forslag til tiltak beskrives i høyre kolonne eller i egne avsnitt under)</w:t>
      </w:r>
    </w:p>
    <w:p w:rsidR="005D7CDF" w:rsidRDefault="005D7CDF" w:rsidP="005D7CDF"/>
    <w:p w:rsidR="005D7CDF" w:rsidRPr="00A1319A" w:rsidRDefault="005D7CDF" w:rsidP="005D7CDF">
      <w:pPr>
        <w:pStyle w:val="Overskrift1"/>
      </w:pPr>
      <w:r w:rsidRPr="00A1319A">
        <w:t>UØNSKEDE HENDELSER, VIRKNINGER OG TILTAK</w:t>
      </w:r>
    </w:p>
    <w:p w:rsidR="005D7CDF" w:rsidRDefault="005D7CDF" w:rsidP="005D7CDF">
      <w:pPr>
        <w:pStyle w:val="Ingenmellomrom"/>
      </w:pPr>
      <w:r>
        <w:t xml:space="preserve">Tabell med mulige uønskede hendelser. </w:t>
      </w:r>
      <w:r w:rsidRPr="00A1319A">
        <w:rPr>
          <w:i/>
        </w:rPr>
        <w:t>(Når det svares ja i kolonnen Aktuelt, skal sannsynlighet og alvorlighet av virkning vurderes. Resultatet markeres ved at celle i tabellen vises med riktig fargekode. Hendelser i rødt felt vurderes først, deretter gult. Det vurderes om utbygging er mulig og det vurderes hvilke tiltak/endringer av planen som er nødvendig for å redusere risiko til akseptabelt nivå. Det kan vises til konsulentrapporter med utredninger i kommentarfelt eller i fotnote. Se sjekkliste i reguleringsveilederen for ytterligere informasjon om tema).</w:t>
      </w:r>
      <w:r>
        <w:br w:type="page"/>
      </w:r>
    </w:p>
    <w:p w:rsidR="005D7CDF" w:rsidRPr="00A1319A" w:rsidRDefault="005D7CDF" w:rsidP="005D7CDF">
      <w:pPr>
        <w:rPr>
          <w:i/>
        </w:rPr>
      </w:pPr>
      <w:r w:rsidRPr="006552A6">
        <w:lastRenderedPageBreak/>
        <w:t xml:space="preserve">Hendelser som er vurdert å være sannsynlige til svært sannsynlige og å ha alvorlige til svært alvorlige virkninger, krever tiltak. </w:t>
      </w:r>
      <w:r w:rsidRPr="00A1319A">
        <w:rPr>
          <w:i/>
        </w:rPr>
        <w:t>(Forslag til tiltak beskrives i høyre kolonne eller i egne avsnitt)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644"/>
        <w:gridCol w:w="1008"/>
        <w:gridCol w:w="1276"/>
        <w:gridCol w:w="1023"/>
        <w:gridCol w:w="961"/>
        <w:gridCol w:w="2410"/>
      </w:tblGrid>
      <w:tr w:rsidR="005D7CDF" w:rsidRPr="004806BB" w:rsidTr="005D7CDF">
        <w:trPr>
          <w:tblHeader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Hendelse/situasjon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Aktuelt</w:t>
            </w:r>
          </w:p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ja/nei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Sannsynlig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Virkning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Risiko</w:t>
            </w:r>
          </w:p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ja/nei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D7CDF" w:rsidRPr="004806BB" w:rsidRDefault="005D7CDF" w:rsidP="000808E3">
            <w:pPr>
              <w:jc w:val="center"/>
              <w:rPr>
                <w:b/>
              </w:rPr>
            </w:pPr>
            <w:r w:rsidRPr="004806BB">
              <w:rPr>
                <w:b/>
              </w:rPr>
              <w:t>Kommentar</w:t>
            </w:r>
          </w:p>
        </w:tc>
      </w:tr>
      <w:tr w:rsidR="005D7CDF" w:rsidTr="005D7CDF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Natur-, klima og miljøforhold – </w:t>
            </w:r>
            <w:r>
              <w:t>Er området utsatt for eller kan tiltak i planen medføre risiko for:</w:t>
            </w:r>
          </w:p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 xml:space="preserve">1. </w:t>
            </w:r>
            <w:proofErr w:type="spellStart"/>
            <w:r w:rsidRPr="00C86A96">
              <w:t>Masseras</w:t>
            </w:r>
            <w:proofErr w:type="spellEnd"/>
            <w:r w:rsidRPr="00C86A96">
              <w:t xml:space="preserve"> /skred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2. Snø / isras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 xml:space="preserve">3. </w:t>
            </w:r>
            <w:proofErr w:type="spellStart"/>
            <w:r w:rsidRPr="00C86A96">
              <w:t>Flomras</w:t>
            </w:r>
            <w:proofErr w:type="spellEnd"/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4. Elveflom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5. Tidevannsflom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6. Radongass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7. Vind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8. Nedbør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9. Sårbar flora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10. Sårbar fauna - fisk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11. Naturvernområder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12. Vassdragsområder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13. Fornminner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14. Kulturminner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5D7CDF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Bygde omgivelser – </w:t>
            </w:r>
            <w:r>
              <w:t>Kan tiltak i planen få virkninger for</w:t>
            </w:r>
            <w:r w:rsidRPr="00711BC5">
              <w:t>:</w:t>
            </w:r>
          </w:p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15. Veg, bru, kollektivtransport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16. Havn, kaianlegg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17. Sykehus, omsorgsinstitusjon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18. Skole barnehage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19. Tilgjengelighet for utrykningskjøretøy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20. Brannslukningsvann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21. Kraftforsyning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22. Vannforsyning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23. Forsvarsområde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24. Rekreasjonsområder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5D7CDF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Forurensningskilder – </w:t>
            </w:r>
            <w:r>
              <w:t>Berøres planområdet av</w:t>
            </w:r>
            <w:r w:rsidRPr="00711BC5">
              <w:t>:</w:t>
            </w:r>
          </w:p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25. Akutt forurensing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26. Permanent forurensing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27. Støv og støy; industri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28. Støv og støy; trafikk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29. Støy; andre kilder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30. Forurenset grunn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31. Høyspentlinje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32. Risikofylt industri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33. Avfallsbehandling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5D7CDF">
        <w:tc>
          <w:tcPr>
            <w:tcW w:w="2644" w:type="dxa"/>
          </w:tcPr>
          <w:p w:rsidR="005D7CDF" w:rsidRPr="00C86A96" w:rsidRDefault="005D7CDF" w:rsidP="000808E3">
            <w:r w:rsidRPr="00C86A96">
              <w:t>34. Oljekatastrofeområde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0808E3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Forurensing – </w:t>
            </w:r>
            <w:r>
              <w:t>Medfører tiltak i planen</w:t>
            </w:r>
            <w:r w:rsidRPr="00711BC5">
              <w:t>:</w:t>
            </w:r>
          </w:p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35. Fare for akutt forurensing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36. Støy og støv fra trafikk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37. Støy og støv fra andre kilder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38. Forurensing av sjø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39. Risikofylt industri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0808E3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Transport - </w:t>
            </w:r>
            <w:r>
              <w:t>Er det r</w:t>
            </w:r>
            <w:r w:rsidRPr="00711BC5">
              <w:t>isiko</w:t>
            </w:r>
            <w:r>
              <w:t xml:space="preserve"> for</w:t>
            </w:r>
            <w:r w:rsidRPr="00711BC5">
              <w:t>:</w:t>
            </w:r>
          </w:p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lastRenderedPageBreak/>
              <w:t>40. Ulykke med farlig gods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41. Vær/føreforhold begrenser tilgjengelighet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42. Ulykke i av- og påkjørsler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43. Ulykker med gående - syklende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44. Ulykke ved anleggsgjennomføring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0808E3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5D7CDF" w:rsidRDefault="005D7CDF" w:rsidP="000808E3">
            <w:r>
              <w:rPr>
                <w:b/>
              </w:rPr>
              <w:t xml:space="preserve">Andre forhold - </w:t>
            </w:r>
            <w:r w:rsidRPr="00711BC5">
              <w:t>Risiko knyttet til tiltak og omgivelser:</w:t>
            </w:r>
          </w:p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45. Fare for terror/sabotasje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46. Regulerte vannmagasin med usikker is /varierende vannstand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RPr="00C86A96" w:rsidTr="000808E3">
        <w:tc>
          <w:tcPr>
            <w:tcW w:w="2644" w:type="dxa"/>
          </w:tcPr>
          <w:p w:rsidR="005D7CDF" w:rsidRPr="00C86A96" w:rsidRDefault="005D7CDF" w:rsidP="000808E3">
            <w:r w:rsidRPr="00C86A96">
              <w:t>47. Fallfare ved naturlige terrengformasjoner samt gruver, sjakter og lignende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  <w:tr w:rsidR="005D7CDF" w:rsidTr="000808E3">
        <w:tc>
          <w:tcPr>
            <w:tcW w:w="2644" w:type="dxa"/>
          </w:tcPr>
          <w:p w:rsidR="005D7CDF" w:rsidRDefault="005D7CDF" w:rsidP="000808E3">
            <w:r w:rsidRPr="00C86A96">
              <w:t>48. Andre forhold</w:t>
            </w:r>
          </w:p>
        </w:tc>
        <w:tc>
          <w:tcPr>
            <w:tcW w:w="1008" w:type="dxa"/>
          </w:tcPr>
          <w:p w:rsidR="005D7CDF" w:rsidRPr="00C86A96" w:rsidRDefault="005D7CDF" w:rsidP="000808E3"/>
        </w:tc>
        <w:tc>
          <w:tcPr>
            <w:tcW w:w="1276" w:type="dxa"/>
          </w:tcPr>
          <w:p w:rsidR="005D7CDF" w:rsidRPr="00C86A96" w:rsidRDefault="005D7CDF" w:rsidP="000808E3"/>
        </w:tc>
        <w:tc>
          <w:tcPr>
            <w:tcW w:w="1023" w:type="dxa"/>
          </w:tcPr>
          <w:p w:rsidR="005D7CDF" w:rsidRPr="00C86A96" w:rsidRDefault="005D7CDF" w:rsidP="000808E3"/>
        </w:tc>
        <w:tc>
          <w:tcPr>
            <w:tcW w:w="961" w:type="dxa"/>
          </w:tcPr>
          <w:p w:rsidR="005D7CDF" w:rsidRPr="00C86A96" w:rsidRDefault="005D7CDF" w:rsidP="000808E3"/>
        </w:tc>
        <w:tc>
          <w:tcPr>
            <w:tcW w:w="2410" w:type="dxa"/>
          </w:tcPr>
          <w:p w:rsidR="005D7CDF" w:rsidRPr="00C86A96" w:rsidRDefault="005D7CDF" w:rsidP="000808E3"/>
        </w:tc>
      </w:tr>
    </w:tbl>
    <w:p w:rsidR="005D7CDF" w:rsidRDefault="005D7CDF" w:rsidP="005D7CDF">
      <w:pPr>
        <w:pStyle w:val="Ingenmellomrom"/>
      </w:pPr>
    </w:p>
    <w:p w:rsidR="005D7CDF" w:rsidRPr="0094677F" w:rsidRDefault="005D7CDF" w:rsidP="005D7CDF">
      <w:pPr>
        <w:pStyle w:val="Ingenmellomrom"/>
        <w:rPr>
          <w:b/>
        </w:rPr>
      </w:pPr>
      <w:r w:rsidRPr="0094677F">
        <w:rPr>
          <w:b/>
        </w:rPr>
        <w:t>Listen er ikke uttømmende.</w:t>
      </w:r>
    </w:p>
    <w:tbl>
      <w:tblPr>
        <w:tblStyle w:val="Lystrutenettuthevingsfarge5"/>
        <w:tblW w:w="4859" w:type="pct"/>
        <w:tblLook w:val="04A0" w:firstRow="1" w:lastRow="0" w:firstColumn="1" w:lastColumn="0" w:noHBand="0" w:noVBand="1"/>
      </w:tblPr>
      <w:tblGrid>
        <w:gridCol w:w="9347"/>
      </w:tblGrid>
      <w:tr w:rsidR="005D7CDF" w:rsidRPr="00B23CCC" w:rsidTr="0011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5D7CDF" w:rsidRPr="00114365" w:rsidRDefault="005D7CDF" w:rsidP="000808E3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bookmarkStart w:id="1" w:name="_Nyttige_ressurser"/>
            <w:bookmarkEnd w:id="1"/>
            <w:r w:rsidRPr="00114365">
              <w:rPr>
                <w:rFonts w:asciiTheme="minorHAnsi" w:hAnsiTheme="minorHAnsi" w:cstheme="minorHAnsi"/>
              </w:rPr>
              <w:t xml:space="preserve">Nyttige ressurser </w:t>
            </w:r>
          </w:p>
          <w:p w:rsidR="005D7CDF" w:rsidRPr="00114365" w:rsidRDefault="005D7CDF" w:rsidP="005D7CDF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9" w:history="1">
              <w:r w:rsidRPr="00114365">
                <w:rPr>
                  <w:rStyle w:val="Hyperkobling"/>
                  <w:rFonts w:asciiTheme="minorHAnsi" w:hAnsiTheme="minorHAnsi" w:cstheme="minorHAnsi"/>
                </w:rPr>
                <w:t>Veileder: systematisk samfunnssikkerhet og beredskapsplanlegging i kommunene</w:t>
              </w:r>
            </w:hyperlink>
            <w:r w:rsidRPr="00114365">
              <w:rPr>
                <w:rStyle w:val="Hyperkobling"/>
                <w:rFonts w:asciiTheme="minorHAnsi" w:hAnsiTheme="minorHAnsi" w:cstheme="minorHAnsi"/>
              </w:rPr>
              <w:br/>
            </w:r>
          </w:p>
          <w:p w:rsidR="005D7CDF" w:rsidRPr="00114365" w:rsidRDefault="005D7CDF" w:rsidP="006A2233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10" w:history="1">
              <w:r w:rsidRPr="00114365">
                <w:rPr>
                  <w:rStyle w:val="Hyperkobling"/>
                  <w:rFonts w:asciiTheme="minorHAnsi" w:hAnsiTheme="minorHAnsi" w:cstheme="minorHAnsi"/>
                </w:rPr>
                <w:t>Veileder for kommunale risiko- og sårbarhetsanalyser</w:t>
              </w:r>
            </w:hyperlink>
            <w:r w:rsidRPr="00114365">
              <w:rPr>
                <w:rStyle w:val="Hyperkobling"/>
                <w:rFonts w:asciiTheme="minorHAnsi" w:hAnsiTheme="minorHAnsi" w:cstheme="minorHAnsi"/>
              </w:rPr>
              <w:br/>
            </w:r>
          </w:p>
          <w:p w:rsidR="005D7CDF" w:rsidRPr="00114365" w:rsidRDefault="005D7CDF" w:rsidP="005D7CDF">
            <w:pPr>
              <w:pStyle w:val="Ingenmellomrom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11" w:history="1">
              <w:r w:rsidRPr="00114365">
                <w:rPr>
                  <w:rStyle w:val="Hyperkobling"/>
                  <w:rFonts w:asciiTheme="minorHAnsi" w:hAnsiTheme="minorHAnsi" w:cstheme="minorHAnsi"/>
                </w:rPr>
                <w:t>Direktoratet for samfunnssikkerhet</w:t>
              </w:r>
            </w:hyperlink>
          </w:p>
          <w:p w:rsidR="005D7CDF" w:rsidRPr="00114365" w:rsidRDefault="005D7CDF" w:rsidP="005D7CDF">
            <w:pPr>
              <w:pStyle w:val="Listeavsnitt"/>
              <w:numPr>
                <w:ilvl w:val="0"/>
                <w:numId w:val="7"/>
              </w:numPr>
              <w:rPr>
                <w:rStyle w:val="Overskrift1Tegn"/>
                <w:rFonts w:asciiTheme="minorHAnsi" w:hAnsiTheme="minorHAnsi" w:cstheme="minorHAnsi"/>
              </w:rPr>
            </w:pPr>
            <w:r w:rsidRPr="00114365">
              <w:rPr>
                <w:rStyle w:val="Overskrift1Tegn"/>
                <w:rFonts w:asciiTheme="minorHAnsi" w:hAnsiTheme="minorHAnsi" w:cstheme="minorHAnsi"/>
              </w:rPr>
              <w:t xml:space="preserve">Planleveransen sendes til: </w:t>
            </w:r>
            <w:hyperlink r:id="rId12" w:history="1">
              <w:r w:rsidRPr="00114365">
                <w:rPr>
                  <w:rStyle w:val="Hyperkobling"/>
                  <w:rFonts w:asciiTheme="minorHAnsi" w:eastAsiaTheme="majorEastAsia" w:hAnsiTheme="minorHAnsi" w:cstheme="minorHAnsi"/>
                  <w:b w:val="0"/>
                  <w:bCs w:val="0"/>
                  <w:szCs w:val="28"/>
                </w:rPr>
                <w:t>postmottak@sortland.kommune.no</w:t>
              </w:r>
            </w:hyperlink>
            <w:r w:rsidRPr="00114365">
              <w:rPr>
                <w:rStyle w:val="Overskrift1Tegn"/>
                <w:rFonts w:asciiTheme="minorHAnsi" w:hAnsiTheme="minorHAnsi" w:cstheme="minorHAnsi"/>
              </w:rPr>
              <w:t xml:space="preserve"> </w:t>
            </w:r>
          </w:p>
          <w:p w:rsidR="005D7CDF" w:rsidRPr="00E71CB2" w:rsidRDefault="005D7CDF" w:rsidP="000808E3">
            <w:pPr>
              <w:spacing w:line="276" w:lineRule="auto"/>
            </w:pPr>
          </w:p>
        </w:tc>
      </w:tr>
    </w:tbl>
    <w:p w:rsidR="005D7CDF" w:rsidRPr="005D7CDF" w:rsidRDefault="005D7CDF" w:rsidP="005D7CDF">
      <w:pPr>
        <w:rPr>
          <w:lang w:eastAsia="nb-NO"/>
        </w:rPr>
      </w:pPr>
    </w:p>
    <w:sectPr w:rsidR="005D7CDF" w:rsidRPr="005D7CDF" w:rsidSect="005D7CDF">
      <w:headerReference w:type="default" r:id="rId13"/>
      <w:headerReference w:type="first" r:id="rId14"/>
      <w:footerReference w:type="first" r:id="rId15"/>
      <w:pgSz w:w="11906" w:h="16838" w:code="9"/>
      <w:pgMar w:top="567" w:right="1134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87" w:rsidRDefault="00001087" w:rsidP="000D5006">
      <w:r>
        <w:separator/>
      </w:r>
    </w:p>
  </w:endnote>
  <w:endnote w:type="continuationSeparator" w:id="0">
    <w:p w:rsidR="00001087" w:rsidRDefault="00001087" w:rsidP="000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25" w:rsidRPr="00DC4A25" w:rsidRDefault="00DC4A25" w:rsidP="00DC4A25">
    <w:pPr>
      <w:pStyle w:val="Bunntekst"/>
      <w:jc w:val="center"/>
      <w:rPr>
        <w:i/>
        <w:color w:val="41B6E6"/>
      </w:rPr>
    </w:pPr>
    <w:r w:rsidRPr="00DC4A25">
      <w:rPr>
        <w:i/>
        <w:color w:val="41B6E6"/>
      </w:rPr>
      <w:t xml:space="preserve">Sjekkliste for vurdering av risiko og </w:t>
    </w:r>
    <w:proofErr w:type="spellStart"/>
    <w:r w:rsidRPr="00DC4A25">
      <w:rPr>
        <w:i/>
        <w:color w:val="41B6E6"/>
      </w:rPr>
      <w:t>sårbarheit</w:t>
    </w:r>
    <w:proofErr w:type="spellEnd"/>
    <w:r w:rsidRPr="00DC4A25">
      <w:rPr>
        <w:i/>
        <w:color w:val="41B6E6"/>
      </w:rPr>
      <w:t xml:space="preserve"> i saker etter plan- og bygningslova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87" w:rsidRDefault="00001087" w:rsidP="000D5006">
      <w:r>
        <w:separator/>
      </w:r>
    </w:p>
  </w:footnote>
  <w:footnote w:type="continuationSeparator" w:id="0">
    <w:p w:rsidR="00001087" w:rsidRDefault="00001087" w:rsidP="000D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168209085"/>
      <w:docPartObj>
        <w:docPartGallery w:val="Page Numbers (Top of Page)"/>
        <w:docPartUnique/>
      </w:docPartObj>
    </w:sdtPr>
    <w:sdtEndPr/>
    <w:sdtContent>
      <w:p w:rsidR="00852367" w:rsidRPr="000D5006" w:rsidRDefault="00F4230A" w:rsidP="00F4230A">
        <w:pPr>
          <w:pStyle w:val="Topptekst"/>
          <w:tabs>
            <w:tab w:val="clear" w:pos="4536"/>
            <w:tab w:val="clear" w:pos="9072"/>
            <w:tab w:val="right" w:pos="9639"/>
          </w:tabs>
          <w:rPr>
            <w:sz w:val="18"/>
          </w:rPr>
        </w:pPr>
        <w:r>
          <w:rPr>
            <w:color w:val="0070C0"/>
            <w:sz w:val="18"/>
          </w:rPr>
          <w:t>S</w:t>
        </w:r>
        <w:r w:rsidR="00305717">
          <w:rPr>
            <w:color w:val="0070C0"/>
            <w:sz w:val="18"/>
          </w:rPr>
          <w:t>JEKKLISTE</w:t>
        </w:r>
        <w:r>
          <w:rPr>
            <w:color w:val="0070C0"/>
            <w:sz w:val="18"/>
          </w:rPr>
          <w:tab/>
        </w:r>
        <w:r w:rsidR="00852367" w:rsidRPr="000D5006">
          <w:rPr>
            <w:sz w:val="18"/>
          </w:rPr>
          <w:t xml:space="preserve">Side </w:t>
        </w:r>
        <w:r w:rsidR="00852367" w:rsidRPr="000D5006">
          <w:rPr>
            <w:b/>
            <w:bCs/>
            <w:sz w:val="18"/>
            <w:szCs w:val="24"/>
          </w:rPr>
          <w:fldChar w:fldCharType="begin"/>
        </w:r>
        <w:r w:rsidR="00852367" w:rsidRPr="000D5006">
          <w:rPr>
            <w:b/>
            <w:bCs/>
            <w:sz w:val="18"/>
          </w:rPr>
          <w:instrText>PAGE</w:instrText>
        </w:r>
        <w:r w:rsidR="00852367" w:rsidRPr="000D5006">
          <w:rPr>
            <w:b/>
            <w:bCs/>
            <w:sz w:val="18"/>
            <w:szCs w:val="24"/>
          </w:rPr>
          <w:fldChar w:fldCharType="separate"/>
        </w:r>
        <w:r w:rsidR="00373019">
          <w:rPr>
            <w:b/>
            <w:bCs/>
            <w:noProof/>
            <w:sz w:val="18"/>
          </w:rPr>
          <w:t>3</w:t>
        </w:r>
        <w:r w:rsidR="00852367" w:rsidRPr="000D5006">
          <w:rPr>
            <w:b/>
            <w:bCs/>
            <w:sz w:val="18"/>
            <w:szCs w:val="24"/>
          </w:rPr>
          <w:fldChar w:fldCharType="end"/>
        </w:r>
        <w:r w:rsidR="00852367" w:rsidRPr="000D5006">
          <w:rPr>
            <w:sz w:val="18"/>
          </w:rPr>
          <w:t xml:space="preserve"> av </w:t>
        </w:r>
        <w:r w:rsidR="00852367" w:rsidRPr="000D5006">
          <w:rPr>
            <w:b/>
            <w:bCs/>
            <w:sz w:val="18"/>
            <w:szCs w:val="24"/>
          </w:rPr>
          <w:fldChar w:fldCharType="begin"/>
        </w:r>
        <w:r w:rsidR="00852367" w:rsidRPr="000D5006">
          <w:rPr>
            <w:b/>
            <w:bCs/>
            <w:sz w:val="18"/>
          </w:rPr>
          <w:instrText>NUMPAGES</w:instrText>
        </w:r>
        <w:r w:rsidR="00852367" w:rsidRPr="000D5006">
          <w:rPr>
            <w:b/>
            <w:bCs/>
            <w:sz w:val="18"/>
            <w:szCs w:val="24"/>
          </w:rPr>
          <w:fldChar w:fldCharType="separate"/>
        </w:r>
        <w:r w:rsidR="00373019">
          <w:rPr>
            <w:b/>
            <w:bCs/>
            <w:noProof/>
            <w:sz w:val="18"/>
          </w:rPr>
          <w:t>6</w:t>
        </w:r>
        <w:r w:rsidR="00852367" w:rsidRPr="000D5006">
          <w:rPr>
            <w:b/>
            <w:bCs/>
            <w:sz w:val="18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709"/>
      <w:gridCol w:w="1559"/>
      <w:gridCol w:w="3260"/>
    </w:tblGrid>
    <w:tr w:rsidR="00545AB8" w:rsidTr="00752DFE">
      <w:trPr>
        <w:trHeight w:val="532"/>
      </w:trPr>
      <w:tc>
        <w:tcPr>
          <w:tcW w:w="4962" w:type="dxa"/>
          <w:vMerge w:val="restart"/>
        </w:tcPr>
        <w:p w:rsidR="00545AB8" w:rsidRPr="00FA3B9F" w:rsidRDefault="00545AB8" w:rsidP="00545AB8">
          <w:pPr>
            <w:pStyle w:val="Kommune"/>
            <w:ind w:left="-72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776" behindDoc="0" locked="0" layoutInCell="1" allowOverlap="1" wp14:anchorId="36800ADA" wp14:editId="692D1280">
                <wp:simplePos x="0" y="0"/>
                <wp:positionH relativeFrom="column">
                  <wp:posOffset>281395</wp:posOffset>
                </wp:positionH>
                <wp:positionV relativeFrom="paragraph">
                  <wp:posOffset>-2540</wp:posOffset>
                </wp:positionV>
                <wp:extent cx="2683764" cy="658368"/>
                <wp:effectExtent l="0" t="0" r="2540" b="889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 logo med 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764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545AB8" w:rsidRPr="005040A7" w:rsidRDefault="00545AB8" w:rsidP="00385CF1">
          <w:pPr>
            <w:jc w:val="center"/>
            <w:rPr>
              <w:sz w:val="16"/>
            </w:rPr>
          </w:pPr>
        </w:p>
      </w:tc>
      <w:tc>
        <w:tcPr>
          <w:tcW w:w="4819" w:type="dxa"/>
          <w:gridSpan w:val="2"/>
          <w:vAlign w:val="center"/>
        </w:tcPr>
        <w:p w:rsidR="00545AB8" w:rsidRPr="005040A7" w:rsidRDefault="00DA6033" w:rsidP="00DA6033">
          <w:pPr>
            <w:pStyle w:val="Tittel"/>
            <w:jc w:val="center"/>
          </w:pPr>
          <w:r>
            <w:rPr>
              <w:color w:val="0070C0"/>
            </w:rPr>
            <w:t>ROS</w:t>
          </w:r>
          <w:r w:rsidR="00305717">
            <w:rPr>
              <w:color w:val="0070C0"/>
            </w:rPr>
            <w:t>-ANALYSE</w:t>
          </w:r>
        </w:p>
      </w:tc>
    </w:tr>
    <w:tr w:rsidR="00545AB8" w:rsidTr="00752DFE">
      <w:trPr>
        <w:trHeight w:val="531"/>
      </w:trPr>
      <w:tc>
        <w:tcPr>
          <w:tcW w:w="4962" w:type="dxa"/>
          <w:vMerge/>
        </w:tcPr>
        <w:p w:rsidR="00545AB8" w:rsidRPr="00385CF1" w:rsidRDefault="00545AB8" w:rsidP="00385CF1">
          <w:pPr>
            <w:jc w:val="center"/>
            <w:rPr>
              <w:b/>
            </w:rPr>
          </w:pPr>
        </w:p>
      </w:tc>
      <w:tc>
        <w:tcPr>
          <w:tcW w:w="709" w:type="dxa"/>
          <w:vAlign w:val="center"/>
        </w:tcPr>
        <w:p w:rsidR="00545AB8" w:rsidRPr="005040A7" w:rsidRDefault="00545AB8" w:rsidP="00385CF1">
          <w:pPr>
            <w:jc w:val="center"/>
            <w:rPr>
              <w:sz w:val="16"/>
            </w:rPr>
          </w:pPr>
        </w:p>
      </w:tc>
      <w:tc>
        <w:tcPr>
          <w:tcW w:w="1559" w:type="dxa"/>
        </w:tcPr>
        <w:p w:rsidR="00545AB8" w:rsidRPr="005040A7" w:rsidRDefault="00545AB8" w:rsidP="00751754">
          <w:pPr>
            <w:rPr>
              <w:sz w:val="16"/>
            </w:rPr>
          </w:pPr>
          <w:r>
            <w:rPr>
              <w:sz w:val="16"/>
            </w:rPr>
            <w:t>Skjemaet sendes til:</w:t>
          </w:r>
        </w:p>
      </w:tc>
      <w:tc>
        <w:tcPr>
          <w:tcW w:w="3260" w:type="dxa"/>
        </w:tcPr>
        <w:p w:rsidR="00545AB8" w:rsidRDefault="00545AB8" w:rsidP="00751754">
          <w:pPr>
            <w:rPr>
              <w:sz w:val="16"/>
            </w:rPr>
          </w:pPr>
          <w:r>
            <w:rPr>
              <w:sz w:val="16"/>
            </w:rPr>
            <w:t>e-post: postmottak@sortland.kommune.no</w:t>
          </w:r>
        </w:p>
        <w:p w:rsidR="00545AB8" w:rsidRDefault="00545AB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>eller:</w:t>
          </w:r>
          <w:r>
            <w:rPr>
              <w:sz w:val="16"/>
            </w:rPr>
            <w:tab/>
            <w:t xml:space="preserve">Sortland kommune </w:t>
          </w:r>
          <w:r>
            <w:rPr>
              <w:sz w:val="16"/>
            </w:rPr>
            <w:tab/>
          </w:r>
        </w:p>
        <w:p w:rsidR="00545AB8" w:rsidRDefault="00545AB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Enhet</w:t>
          </w:r>
        </w:p>
        <w:p w:rsidR="00545AB8" w:rsidRPr="005040A7" w:rsidRDefault="00545AB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Postboks 117, 8401 Sortland</w:t>
          </w:r>
        </w:p>
      </w:tc>
    </w:tr>
  </w:tbl>
  <w:p w:rsidR="0068387C" w:rsidRPr="00D10780" w:rsidRDefault="00D10780" w:rsidP="00D10780">
    <w:pPr>
      <w:pStyle w:val="Topptekst"/>
      <w:jc w:val="right"/>
      <w:rPr>
        <w:sz w:val="18"/>
      </w:rPr>
    </w:pPr>
    <w:r w:rsidRPr="00D10780">
      <w:rPr>
        <w:sz w:val="18"/>
      </w:rPr>
      <w:t xml:space="preserve">Side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PAGE  \* Arabic  \* MERGEFORMAT</w:instrText>
    </w:r>
    <w:r w:rsidRPr="00D10780">
      <w:rPr>
        <w:b/>
        <w:sz w:val="18"/>
      </w:rPr>
      <w:fldChar w:fldCharType="separate"/>
    </w:r>
    <w:r w:rsidR="00373019">
      <w:rPr>
        <w:b/>
        <w:noProof/>
        <w:sz w:val="18"/>
      </w:rPr>
      <w:t>2</w:t>
    </w:r>
    <w:r w:rsidRPr="00D10780">
      <w:rPr>
        <w:b/>
        <w:sz w:val="18"/>
      </w:rPr>
      <w:fldChar w:fldCharType="end"/>
    </w:r>
    <w:r w:rsidRPr="00D10780">
      <w:rPr>
        <w:sz w:val="18"/>
      </w:rPr>
      <w:t xml:space="preserve"> av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NUMPAGES  \* Arabic  \* MERGEFORMAT</w:instrText>
    </w:r>
    <w:r w:rsidRPr="00D10780">
      <w:rPr>
        <w:b/>
        <w:sz w:val="18"/>
      </w:rPr>
      <w:fldChar w:fldCharType="separate"/>
    </w:r>
    <w:r w:rsidR="00373019">
      <w:rPr>
        <w:b/>
        <w:noProof/>
        <w:sz w:val="18"/>
      </w:rPr>
      <w:t>6</w:t>
    </w:r>
    <w:r w:rsidRPr="00D10780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21A3"/>
    <w:multiLevelType w:val="hybridMultilevel"/>
    <w:tmpl w:val="F4E6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4142">
      <w:start w:val="1"/>
      <w:numFmt w:val="bullet"/>
      <w:pStyle w:val="Ku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25E"/>
    <w:multiLevelType w:val="hybridMultilevel"/>
    <w:tmpl w:val="FBC66D42"/>
    <w:lvl w:ilvl="0" w:tplc="936E7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2E58"/>
    <w:multiLevelType w:val="hybridMultilevel"/>
    <w:tmpl w:val="A4B42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CD5"/>
    <w:multiLevelType w:val="hybridMultilevel"/>
    <w:tmpl w:val="11126120"/>
    <w:lvl w:ilvl="0" w:tplc="89029E22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4BD"/>
    <w:multiLevelType w:val="hybridMultilevel"/>
    <w:tmpl w:val="EA382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376C"/>
    <w:multiLevelType w:val="hybridMultilevel"/>
    <w:tmpl w:val="CFDA9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7A76"/>
    <w:multiLevelType w:val="hybridMultilevel"/>
    <w:tmpl w:val="9C840C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80478"/>
    <w:multiLevelType w:val="hybridMultilevel"/>
    <w:tmpl w:val="5AC839E8"/>
    <w:lvl w:ilvl="0" w:tplc="C8FAB152">
      <w:start w:val="1"/>
      <w:numFmt w:val="bullet"/>
      <w:pStyle w:val="Stre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CDA"/>
    <w:multiLevelType w:val="hybridMultilevel"/>
    <w:tmpl w:val="50E0FD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87"/>
    <w:rsid w:val="00001087"/>
    <w:rsid w:val="00012EB1"/>
    <w:rsid w:val="00013257"/>
    <w:rsid w:val="00021C5F"/>
    <w:rsid w:val="00043CB2"/>
    <w:rsid w:val="00074CEB"/>
    <w:rsid w:val="000A217E"/>
    <w:rsid w:val="000B33D1"/>
    <w:rsid w:val="000D3333"/>
    <w:rsid w:val="000D5006"/>
    <w:rsid w:val="000E1EBC"/>
    <w:rsid w:val="000E2FC6"/>
    <w:rsid w:val="000E75B8"/>
    <w:rsid w:val="000F0C27"/>
    <w:rsid w:val="000F70FF"/>
    <w:rsid w:val="00103E71"/>
    <w:rsid w:val="0010673B"/>
    <w:rsid w:val="00106778"/>
    <w:rsid w:val="00114365"/>
    <w:rsid w:val="00126A6D"/>
    <w:rsid w:val="0013154E"/>
    <w:rsid w:val="00157A9A"/>
    <w:rsid w:val="00162F4F"/>
    <w:rsid w:val="00166011"/>
    <w:rsid w:val="00167CC0"/>
    <w:rsid w:val="0018161A"/>
    <w:rsid w:val="001844DD"/>
    <w:rsid w:val="001A2F46"/>
    <w:rsid w:val="001A354F"/>
    <w:rsid w:val="001D6002"/>
    <w:rsid w:val="001E6178"/>
    <w:rsid w:val="0021102F"/>
    <w:rsid w:val="00213D96"/>
    <w:rsid w:val="002250CE"/>
    <w:rsid w:val="00231142"/>
    <w:rsid w:val="00276B66"/>
    <w:rsid w:val="00293206"/>
    <w:rsid w:val="002963A0"/>
    <w:rsid w:val="002B032C"/>
    <w:rsid w:val="00300EA2"/>
    <w:rsid w:val="00305717"/>
    <w:rsid w:val="00305BE5"/>
    <w:rsid w:val="00344655"/>
    <w:rsid w:val="00354FE7"/>
    <w:rsid w:val="00361DAF"/>
    <w:rsid w:val="003627D7"/>
    <w:rsid w:val="00370A1E"/>
    <w:rsid w:val="00371B56"/>
    <w:rsid w:val="00373019"/>
    <w:rsid w:val="00385CF1"/>
    <w:rsid w:val="0039683E"/>
    <w:rsid w:val="003B2C04"/>
    <w:rsid w:val="003E3F52"/>
    <w:rsid w:val="003E7233"/>
    <w:rsid w:val="00416562"/>
    <w:rsid w:val="004251D3"/>
    <w:rsid w:val="004423D3"/>
    <w:rsid w:val="00445DFB"/>
    <w:rsid w:val="00460D89"/>
    <w:rsid w:val="0047504F"/>
    <w:rsid w:val="004959C9"/>
    <w:rsid w:val="004B757B"/>
    <w:rsid w:val="005024D8"/>
    <w:rsid w:val="00511C65"/>
    <w:rsid w:val="005163E3"/>
    <w:rsid w:val="00524AFB"/>
    <w:rsid w:val="00545AB8"/>
    <w:rsid w:val="00567BF3"/>
    <w:rsid w:val="0059091E"/>
    <w:rsid w:val="005B649E"/>
    <w:rsid w:val="005B7439"/>
    <w:rsid w:val="005D7CDF"/>
    <w:rsid w:val="00603C59"/>
    <w:rsid w:val="0063646A"/>
    <w:rsid w:val="006450FF"/>
    <w:rsid w:val="00655542"/>
    <w:rsid w:val="00657A5A"/>
    <w:rsid w:val="0068387C"/>
    <w:rsid w:val="006A58BF"/>
    <w:rsid w:val="006C3A20"/>
    <w:rsid w:val="006E2E03"/>
    <w:rsid w:val="007078AC"/>
    <w:rsid w:val="00730234"/>
    <w:rsid w:val="00737D0C"/>
    <w:rsid w:val="00751754"/>
    <w:rsid w:val="00755483"/>
    <w:rsid w:val="00793580"/>
    <w:rsid w:val="007C7A8C"/>
    <w:rsid w:val="007C7DD4"/>
    <w:rsid w:val="007D1435"/>
    <w:rsid w:val="007E6F6A"/>
    <w:rsid w:val="007F2177"/>
    <w:rsid w:val="008009A7"/>
    <w:rsid w:val="00804D06"/>
    <w:rsid w:val="00852367"/>
    <w:rsid w:val="0086090B"/>
    <w:rsid w:val="00862CE8"/>
    <w:rsid w:val="008774C5"/>
    <w:rsid w:val="008918DE"/>
    <w:rsid w:val="00891EBB"/>
    <w:rsid w:val="008B306B"/>
    <w:rsid w:val="008C62B0"/>
    <w:rsid w:val="008F4C86"/>
    <w:rsid w:val="009452A7"/>
    <w:rsid w:val="009A027D"/>
    <w:rsid w:val="009C4E20"/>
    <w:rsid w:val="009D7522"/>
    <w:rsid w:val="00A06D8C"/>
    <w:rsid w:val="00A1437A"/>
    <w:rsid w:val="00A24B5D"/>
    <w:rsid w:val="00A33DC5"/>
    <w:rsid w:val="00A40459"/>
    <w:rsid w:val="00A7301B"/>
    <w:rsid w:val="00A8225D"/>
    <w:rsid w:val="00A873BD"/>
    <w:rsid w:val="00AA1CEF"/>
    <w:rsid w:val="00AA1D20"/>
    <w:rsid w:val="00AD2765"/>
    <w:rsid w:val="00AD29F1"/>
    <w:rsid w:val="00AE0EE7"/>
    <w:rsid w:val="00AE2265"/>
    <w:rsid w:val="00AE5B76"/>
    <w:rsid w:val="00B022B9"/>
    <w:rsid w:val="00B11277"/>
    <w:rsid w:val="00B23F7F"/>
    <w:rsid w:val="00B572FA"/>
    <w:rsid w:val="00B87A5C"/>
    <w:rsid w:val="00B9685C"/>
    <w:rsid w:val="00BA0BDA"/>
    <w:rsid w:val="00BA3AEC"/>
    <w:rsid w:val="00BB4897"/>
    <w:rsid w:val="00BD2121"/>
    <w:rsid w:val="00BE67A6"/>
    <w:rsid w:val="00BF05FF"/>
    <w:rsid w:val="00BF35A7"/>
    <w:rsid w:val="00C10C89"/>
    <w:rsid w:val="00C24FE4"/>
    <w:rsid w:val="00C271EC"/>
    <w:rsid w:val="00C3071D"/>
    <w:rsid w:val="00C411DB"/>
    <w:rsid w:val="00C75649"/>
    <w:rsid w:val="00C9277B"/>
    <w:rsid w:val="00CD2FE0"/>
    <w:rsid w:val="00CD54A1"/>
    <w:rsid w:val="00CE5F8F"/>
    <w:rsid w:val="00D10780"/>
    <w:rsid w:val="00D24EA9"/>
    <w:rsid w:val="00D602C4"/>
    <w:rsid w:val="00D9211B"/>
    <w:rsid w:val="00DA43BE"/>
    <w:rsid w:val="00DA6033"/>
    <w:rsid w:val="00DB0FB3"/>
    <w:rsid w:val="00DC4A25"/>
    <w:rsid w:val="00E17994"/>
    <w:rsid w:val="00E32D19"/>
    <w:rsid w:val="00E519AD"/>
    <w:rsid w:val="00E71383"/>
    <w:rsid w:val="00E71820"/>
    <w:rsid w:val="00E92186"/>
    <w:rsid w:val="00E97648"/>
    <w:rsid w:val="00EC4831"/>
    <w:rsid w:val="00EC7768"/>
    <w:rsid w:val="00EF0D77"/>
    <w:rsid w:val="00EF6F97"/>
    <w:rsid w:val="00F17062"/>
    <w:rsid w:val="00F17177"/>
    <w:rsid w:val="00F32BF3"/>
    <w:rsid w:val="00F375F3"/>
    <w:rsid w:val="00F4230A"/>
    <w:rsid w:val="00F64496"/>
    <w:rsid w:val="00F754E7"/>
    <w:rsid w:val="00F77D0D"/>
    <w:rsid w:val="00F87C2E"/>
    <w:rsid w:val="00F94DB7"/>
    <w:rsid w:val="00FA3B9F"/>
    <w:rsid w:val="00FA434D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99754"/>
  <w15:docId w15:val="{A5F918FC-23C0-4D68-8A9B-31850CF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2FA"/>
    <w:pPr>
      <w:spacing w:line="240" w:lineRule="auto"/>
    </w:pPr>
    <w:rPr>
      <w:rFonts w:ascii="Calibri" w:eastAsiaTheme="minorHAnsi" w:hAnsi="Calibri"/>
      <w:lang w:eastAsia="en-US"/>
    </w:rPr>
  </w:style>
  <w:style w:type="paragraph" w:styleId="Overskrift1">
    <w:name w:val="heading 1"/>
    <w:next w:val="Normal"/>
    <w:link w:val="Overskrift1Tegn"/>
    <w:uiPriority w:val="9"/>
    <w:qFormat/>
    <w:rsid w:val="00001087"/>
    <w:pPr>
      <w:keepNext/>
      <w:keepLines/>
      <w:spacing w:before="480" w:after="0" w:line="240" w:lineRule="auto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001087"/>
    <w:pPr>
      <w:keepNext/>
      <w:keepLines/>
      <w:spacing w:before="200" w:line="240" w:lineRule="auto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655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Undertittel"/>
    <w:link w:val="TittelTegn"/>
    <w:uiPriority w:val="10"/>
    <w:qFormat/>
    <w:rsid w:val="00655542"/>
    <w:rPr>
      <w:rFonts w:eastAsiaTheme="majorEastAsia" w:cstheme="majorBidi"/>
      <w:b/>
      <w:caps/>
      <w:spacing w:val="5"/>
      <w:kern w:val="28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55542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5542"/>
    <w:pPr>
      <w:numPr>
        <w:ilvl w:val="1"/>
      </w:numPr>
    </w:pPr>
    <w:rPr>
      <w:rFonts w:eastAsiaTheme="majorEastAsia" w:cstheme="majorBidi"/>
      <w:iCs/>
      <w:caps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5542"/>
    <w:rPr>
      <w:rFonts w:ascii="Times New Roman" w:eastAsiaTheme="majorEastAsia" w:hAnsi="Times New Roman" w:cstheme="majorBidi"/>
      <w:iCs/>
      <w:cap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1087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1087"/>
    <w:rPr>
      <w:rFonts w:eastAsiaTheme="majorEastAsia" w:cstheme="majorBidi"/>
      <w:bCs/>
      <w:caps/>
      <w:szCs w:val="26"/>
    </w:rPr>
  </w:style>
  <w:style w:type="table" w:styleId="Tabellrutenett">
    <w:name w:val="Table Grid"/>
    <w:basedOn w:val="Vanligtabell"/>
    <w:uiPriority w:val="59"/>
    <w:rsid w:val="000D50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50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006"/>
    <w:rPr>
      <w:rFonts w:ascii="Tahoma" w:eastAsiaTheme="minorHAnsi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customStyle="1" w:styleId="Avdelingsnavn">
    <w:name w:val="Avdelingsnavn"/>
    <w:basedOn w:val="Normal"/>
    <w:link w:val="AvdelingsnavnTegn"/>
    <w:rsid w:val="000E75B8"/>
    <w:rPr>
      <w:caps/>
    </w:rPr>
  </w:style>
  <w:style w:type="character" w:customStyle="1" w:styleId="AvdelingsnavnTegn">
    <w:name w:val="Avdelingsnavn Tegn"/>
    <w:basedOn w:val="Standardskriftforavsnitt"/>
    <w:link w:val="Avdelingsnavn"/>
    <w:rsid w:val="000E75B8"/>
    <w:rPr>
      <w:rFonts w:ascii="Times New Roman" w:eastAsiaTheme="minorHAnsi" w:hAnsi="Times New Roman"/>
      <w:caps/>
      <w:sz w:val="24"/>
      <w:lang w:eastAsia="en-US"/>
    </w:rPr>
  </w:style>
  <w:style w:type="paragraph" w:customStyle="1" w:styleId="Uoff">
    <w:name w:val="Uoff"/>
    <w:link w:val="UoffTegn"/>
    <w:qFormat/>
    <w:rsid w:val="00655542"/>
    <w:pPr>
      <w:spacing w:line="240" w:lineRule="auto"/>
      <w:contextualSpacing/>
      <w:jc w:val="right"/>
    </w:pPr>
    <w:rPr>
      <w:rFonts w:ascii="Times New Roman" w:eastAsiaTheme="minorHAnsi" w:hAnsi="Times New Roman"/>
      <w:b/>
      <w:color w:val="FF0000"/>
      <w:sz w:val="24"/>
      <w:lang w:eastAsia="en-US"/>
    </w:rPr>
  </w:style>
  <w:style w:type="character" w:customStyle="1" w:styleId="UoffTegn">
    <w:name w:val="Uoff Tegn"/>
    <w:basedOn w:val="Standardskriftforavsnitt"/>
    <w:link w:val="Uoff"/>
    <w:rsid w:val="00655542"/>
    <w:rPr>
      <w:rFonts w:ascii="Times New Roman" w:eastAsiaTheme="minorHAnsi" w:hAnsi="Times New Roman"/>
      <w:b/>
      <w:color w:val="FF0000"/>
      <w:sz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7504F"/>
    <w:rPr>
      <w:color w:val="808080"/>
    </w:rPr>
  </w:style>
  <w:style w:type="paragraph" w:customStyle="1" w:styleId="Kommune">
    <w:name w:val="Kommune"/>
    <w:link w:val="KommuneTegn"/>
    <w:qFormat/>
    <w:rsid w:val="00655542"/>
    <w:pPr>
      <w:spacing w:after="0" w:line="240" w:lineRule="auto"/>
    </w:pPr>
    <w:rPr>
      <w:rFonts w:ascii="Arial" w:eastAsiaTheme="minorHAnsi" w:hAnsi="Arial" w:cs="Times New Roman"/>
      <w:b/>
      <w:sz w:val="36"/>
      <w:lang w:eastAsia="en-US"/>
    </w:rPr>
  </w:style>
  <w:style w:type="paragraph" w:customStyle="1" w:styleId="Avdeling">
    <w:name w:val="Avdeling"/>
    <w:link w:val="AvdelingTegn"/>
    <w:qFormat/>
    <w:rsid w:val="00655542"/>
    <w:pPr>
      <w:spacing w:after="0" w:line="240" w:lineRule="auto"/>
    </w:pPr>
    <w:rPr>
      <w:rFonts w:ascii="Arial" w:eastAsiaTheme="minorHAnsi" w:hAnsi="Arial" w:cs="Times New Roman"/>
      <w:caps/>
      <w:sz w:val="24"/>
      <w:lang w:eastAsia="en-US"/>
    </w:rPr>
  </w:style>
  <w:style w:type="character" w:customStyle="1" w:styleId="KommuneTegn">
    <w:name w:val="Kommune Tegn"/>
    <w:basedOn w:val="Standardskriftforavsnitt"/>
    <w:link w:val="Kommune"/>
    <w:rsid w:val="00655542"/>
    <w:rPr>
      <w:rFonts w:ascii="Arial" w:eastAsiaTheme="minorHAnsi" w:hAnsi="Arial" w:cs="Times New Roman"/>
      <w:b/>
      <w:sz w:val="36"/>
      <w:lang w:eastAsia="en-US"/>
    </w:rPr>
  </w:style>
  <w:style w:type="character" w:customStyle="1" w:styleId="AvdelingTegn">
    <w:name w:val="Avdeling Tegn"/>
    <w:basedOn w:val="AvdelingsnavnTegn"/>
    <w:link w:val="Avdeling"/>
    <w:rsid w:val="00655542"/>
    <w:rPr>
      <w:rFonts w:ascii="Arial" w:eastAsiaTheme="minorHAnsi" w:hAnsi="Arial" w:cs="Times New Roman"/>
      <w:caps/>
      <w:sz w:val="24"/>
      <w:lang w:eastAsia="en-US"/>
    </w:rPr>
  </w:style>
  <w:style w:type="paragraph" w:customStyle="1" w:styleId="Heading">
    <w:name w:val="Heading"/>
    <w:link w:val="HeadingTegn"/>
    <w:qFormat/>
    <w:rsid w:val="00166011"/>
    <w:pPr>
      <w:tabs>
        <w:tab w:val="left" w:pos="1135"/>
      </w:tabs>
      <w:spacing w:after="0" w:line="240" w:lineRule="auto"/>
      <w:contextualSpacing/>
    </w:pPr>
    <w:rPr>
      <w:rFonts w:ascii="Times New Roman" w:eastAsiaTheme="minorHAnsi" w:hAnsi="Times New Roman"/>
      <w:sz w:val="16"/>
      <w:lang w:eastAsia="en-US"/>
    </w:rPr>
  </w:style>
  <w:style w:type="character" w:customStyle="1" w:styleId="HeadingTegn">
    <w:name w:val="Heading Tegn"/>
    <w:basedOn w:val="Standardskriftforavsnitt"/>
    <w:link w:val="Heading"/>
    <w:rsid w:val="00166011"/>
    <w:rPr>
      <w:rFonts w:ascii="Times New Roman" w:eastAsiaTheme="minorHAnsi" w:hAnsi="Times New Roman"/>
      <w:sz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554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Kule">
    <w:name w:val="Kule"/>
    <w:basedOn w:val="Listeavsnitt"/>
    <w:link w:val="KuleTegn"/>
    <w:qFormat/>
    <w:rsid w:val="00445DFB"/>
    <w:pPr>
      <w:numPr>
        <w:ilvl w:val="1"/>
        <w:numId w:val="1"/>
      </w:numPr>
    </w:pPr>
  </w:style>
  <w:style w:type="character" w:customStyle="1" w:styleId="KuleTegn">
    <w:name w:val="Kule Tegn"/>
    <w:basedOn w:val="Standardskriftforavsnitt"/>
    <w:link w:val="Kule"/>
    <w:rsid w:val="00445DFB"/>
    <w:rPr>
      <w:rFonts w:ascii="Times New Roman" w:eastAsiaTheme="minorHAnsi" w:hAnsi="Times New Roman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445DFB"/>
    <w:pPr>
      <w:ind w:left="720"/>
      <w:contextualSpacing/>
    </w:pPr>
  </w:style>
  <w:style w:type="paragraph" w:customStyle="1" w:styleId="Punkt">
    <w:name w:val="Punkt"/>
    <w:basedOn w:val="Listeavsnitt"/>
    <w:link w:val="PunktTegn"/>
    <w:qFormat/>
    <w:rsid w:val="00445DFB"/>
    <w:pPr>
      <w:numPr>
        <w:numId w:val="2"/>
      </w:numPr>
    </w:pPr>
  </w:style>
  <w:style w:type="character" w:customStyle="1" w:styleId="PunktTegn">
    <w:name w:val="Punkt Tegn"/>
    <w:basedOn w:val="Standardskriftforavsnitt"/>
    <w:link w:val="Punkt"/>
    <w:rsid w:val="00445DFB"/>
    <w:rPr>
      <w:rFonts w:ascii="Times New Roman" w:eastAsiaTheme="minorHAnsi" w:hAnsi="Times New Roman"/>
      <w:sz w:val="24"/>
      <w:lang w:eastAsia="en-US"/>
    </w:rPr>
  </w:style>
  <w:style w:type="paragraph" w:customStyle="1" w:styleId="Strek">
    <w:name w:val="Strek"/>
    <w:basedOn w:val="Listeavsnitt"/>
    <w:link w:val="StrekTegn"/>
    <w:qFormat/>
    <w:rsid w:val="00445DFB"/>
    <w:pPr>
      <w:numPr>
        <w:numId w:val="3"/>
      </w:numPr>
    </w:pPr>
  </w:style>
  <w:style w:type="character" w:customStyle="1" w:styleId="StrekTegn">
    <w:name w:val="Strek Tegn"/>
    <w:basedOn w:val="Standardskriftforavsnitt"/>
    <w:link w:val="Strek"/>
    <w:rsid w:val="00445DFB"/>
    <w:rPr>
      <w:rFonts w:ascii="Times New Roman" w:eastAsiaTheme="minorHAnsi" w:hAnsi="Times New Roman"/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F35A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01087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354FE7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54FE7"/>
    <w:rPr>
      <w:color w:val="605E5C"/>
      <w:shd w:val="clear" w:color="auto" w:fill="E1DFDD"/>
    </w:rPr>
  </w:style>
  <w:style w:type="table" w:styleId="Lystrutenettuthevingsfarge5">
    <w:name w:val="Light Grid Accent 5"/>
    <w:basedOn w:val="Vanligtabell"/>
    <w:uiPriority w:val="62"/>
    <w:rsid w:val="005D7CD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08-06-27-71/&#167;4-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mottak@sortland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b.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b.no/Global/Publikasjoner/Tidligere/Andre/risiko_saarb-analy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b.no/Global/Publikasjoner/Tidligere/Andre/systematiskarbeidikommunene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knisk\Plan%20og%20milj&#248;\Planavdeling\Rutiner%20og%20maler\FASE%202%20-%20OPPSTARTSFASE\ROS_Sjekklis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2380-B3F6-4CBC-A91C-411C0589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ROS_Sjekkliste</Template>
  <TotalTime>26</TotalTime>
  <Pages>4</Pages>
  <Words>998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Næss</dc:creator>
  <cp:lastModifiedBy>Helle Næss</cp:lastModifiedBy>
  <cp:revision>7</cp:revision>
  <cp:lastPrinted>2016-10-20T09:44:00Z</cp:lastPrinted>
  <dcterms:created xsi:type="dcterms:W3CDTF">2020-05-26T08:58:00Z</dcterms:created>
  <dcterms:modified xsi:type="dcterms:W3CDTF">2020-06-18T13:18:00Z</dcterms:modified>
</cp:coreProperties>
</file>